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6"/>
        <w:tblW w:w="145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48"/>
        <w:gridCol w:w="1243"/>
        <w:gridCol w:w="534"/>
        <w:gridCol w:w="2870"/>
        <w:gridCol w:w="510"/>
        <w:gridCol w:w="2982"/>
        <w:gridCol w:w="854"/>
        <w:gridCol w:w="390"/>
        <w:gridCol w:w="1449"/>
      </w:tblGrid>
      <w:tr w:rsidR="00166583" w:rsidRPr="00166583" w:rsidTr="00166583">
        <w:trPr>
          <w:trHeight w:val="315"/>
          <w:jc w:val="center"/>
        </w:trPr>
        <w:tc>
          <w:tcPr>
            <w:tcW w:w="145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66583" w:rsidRPr="00166583" w:rsidRDefault="00166583" w:rsidP="00166583">
            <w:pPr>
              <w:bidi/>
              <w:rPr>
                <w:rFonts w:ascii="Calibri" w:eastAsia="Calibri" w:hAnsi="Calibri" w:cs="B Titr"/>
                <w:color w:val="FF0000"/>
                <w:sz w:val="24"/>
                <w:szCs w:val="24"/>
              </w:rPr>
            </w:pPr>
            <w:r w:rsidRPr="00166583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فرم شماره 1  </w:t>
            </w:r>
            <w:bookmarkStart w:id="0" w:name="_GoBack"/>
            <w:r w:rsidRPr="00166583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اولویت‌های به‌دست آمده از نیازسنجی سلامت جامعه استان چهارمحال و بختیاری </w:t>
            </w:r>
            <w:bookmarkEnd w:id="0"/>
            <w:r w:rsidRPr="00166583">
              <w:rPr>
                <w:rFonts w:ascii="Calibri" w:eastAsia="Calibri" w:hAnsi="Calibri" w:cs="B Titr" w:hint="cs"/>
                <w:sz w:val="24"/>
                <w:szCs w:val="24"/>
                <w:rtl/>
              </w:rPr>
              <w:t>(اسفندماه  1399 و بروزرسانی کیفی 1402)</w:t>
            </w:r>
            <w:r w:rsidRPr="00166583">
              <w:rPr>
                <w:rFonts w:ascii="Calibri" w:eastAsia="Calibri" w:hAnsi="Calibri" w:cs="B Titr" w:hint="cs"/>
                <w:color w:val="FF0000"/>
                <w:sz w:val="24"/>
                <w:szCs w:val="24"/>
                <w:rtl/>
              </w:rPr>
              <w:t xml:space="preserve">  </w:t>
            </w:r>
            <w:r w:rsidRPr="00166583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 w:rsidRPr="00166583">
              <w:rPr>
                <w:rFonts w:ascii="Calibri" w:eastAsia="Calibri" w:hAnsi="Calibri" w:cs="B Mitra" w:hint="cs"/>
                <w:b/>
                <w:bCs/>
                <w:color w:val="FF0000"/>
                <w:sz w:val="24"/>
                <w:szCs w:val="24"/>
                <w:rtl/>
              </w:rPr>
              <w:t xml:space="preserve">فرم </w:t>
            </w:r>
            <w:r w:rsidRPr="00166583">
              <w:rPr>
                <w:rFonts w:ascii="Calibri" w:eastAsia="Calibri" w:hAnsi="Calibri" w:cs="B Mitra"/>
                <w:b/>
                <w:bCs/>
                <w:color w:val="FF0000"/>
                <w:sz w:val="24"/>
                <w:szCs w:val="24"/>
              </w:rPr>
              <w:t>N12</w:t>
            </w:r>
            <w:r w:rsidRPr="00166583">
              <w:rPr>
                <w:rFonts w:ascii="Calibri" w:eastAsia="Calibri" w:hAnsi="Calibri" w:cs="B Mitra" w:hint="cs"/>
                <w:b/>
                <w:bCs/>
                <w:color w:val="FF0000"/>
                <w:sz w:val="24"/>
                <w:szCs w:val="24"/>
                <w:rtl/>
              </w:rPr>
              <w:t xml:space="preserve"> نیازسنجی)</w:t>
            </w:r>
          </w:p>
        </w:tc>
      </w:tr>
      <w:tr w:rsidR="00166583" w:rsidRPr="00166583" w:rsidTr="00166583">
        <w:trPr>
          <w:trHeight w:val="351"/>
          <w:jc w:val="center"/>
        </w:trPr>
        <w:tc>
          <w:tcPr>
            <w:tcW w:w="118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166583">
              <w:rPr>
                <w:rFonts w:ascii="Calibri" w:eastAsia="Calibri" w:hAnsi="Calibri" w:cs="B Titr" w:hint="cs"/>
                <w:sz w:val="20"/>
                <w:szCs w:val="20"/>
                <w:rtl/>
              </w:rPr>
              <w:t>اولویت‌ها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Titr" w:hint="cs"/>
                <w:sz w:val="20"/>
                <w:szCs w:val="20"/>
                <w:rtl/>
              </w:rPr>
              <w:t>واحدها</w:t>
            </w: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12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102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مرگ مادران باردار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101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پایین بودن نرخ باروری کلی، افزایش سقط ها و سزارین ها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خانواده</w:t>
            </w:r>
          </w:p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Titr" w:hint="cs"/>
                <w:sz w:val="20"/>
                <w:szCs w:val="20"/>
                <w:rtl/>
              </w:rPr>
              <w:t>سلامت جمعیت، خانواده و</w:t>
            </w:r>
          </w:p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Titr" w:hint="cs"/>
                <w:sz w:val="20"/>
                <w:szCs w:val="20"/>
                <w:rtl/>
              </w:rPr>
              <w:t>مدارس</w:t>
            </w: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4994" w:type="dxa"/>
            <w:gridSpan w:val="2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104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کم تحرکی در میانسالان</w:t>
            </w:r>
          </w:p>
        </w:tc>
        <w:tc>
          <w:tcPr>
            <w:tcW w:w="6898" w:type="dxa"/>
            <w:gridSpan w:val="4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103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سقوط و عدم تعادل سالمندان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233"/>
          <w:jc w:val="center"/>
        </w:trPr>
        <w:tc>
          <w:tcPr>
            <w:tcW w:w="4994" w:type="dxa"/>
            <w:gridSpan w:val="2"/>
            <w:tcBorders>
              <w:top w:val="dotDotDash" w:sz="4" w:space="0" w:color="auto"/>
              <w:left w:val="single" w:sz="12" w:space="0" w:color="auto"/>
              <w:bottom w:val="dotDash" w:sz="4" w:space="0" w:color="auto"/>
              <w:right w:val="dotDotDash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106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>سبک زندگی سالم از دیدگاه طب ایرانی</w:t>
            </w:r>
          </w:p>
        </w:tc>
        <w:tc>
          <w:tcPr>
            <w:tcW w:w="6898" w:type="dxa"/>
            <w:gridSpan w:val="4"/>
            <w:tcBorders>
              <w:top w:val="dotDotDash" w:sz="4" w:space="0" w:color="auto"/>
              <w:left w:val="dot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105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مرگ کودکان زیر 5 سال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60"/>
          <w:jc w:val="center"/>
        </w:trPr>
        <w:tc>
          <w:tcPr>
            <w:tcW w:w="11892" w:type="dxa"/>
            <w:gridSpan w:val="6"/>
            <w:tcBorders>
              <w:top w:val="dotDash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eastAsia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107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آسیب‌های ناشی از استفاده نامناسب از فضای مجازی و شبکه‌های اجتماعی در نوجوانان و جوانان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مدارس</w:t>
            </w: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402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DotDash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256" w:lineRule="auto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dotDotDash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cs="B Mitra"/>
                <w:sz w:val="20"/>
                <w:szCs w:val="20"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108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12" w:space="0" w:color="auto"/>
              <w:bottom w:val="dotDotDash" w:sz="4" w:space="0" w:color="auto"/>
              <w:right w:val="dotDotDash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202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آب آشامیدنی ناسالم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201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 دفع غیربهداشتی فاضلاب خانگی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محیط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5C2"/>
            <w:textDirection w:val="btLr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Titr" w:hint="cs"/>
                <w:sz w:val="20"/>
                <w:szCs w:val="20"/>
                <w:rtl/>
              </w:rPr>
              <w:t>سلامت محیط و حرفه ای</w:t>
            </w: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4994" w:type="dxa"/>
            <w:gridSpan w:val="2"/>
            <w:tcBorders>
              <w:top w:val="dotDotDash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204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</w:t>
            </w:r>
            <w:r w:rsidRPr="00166583">
              <w:rPr>
                <w:rFonts w:ascii="Calibri" w:eastAsia="Calibri" w:hAnsi="Calibri" w:cs="B Mitra" w:hint="cs"/>
                <w:sz w:val="24"/>
                <w:szCs w:val="24"/>
                <w:rtl/>
              </w:rPr>
              <w:t>دفع غیربهداشتی پسماند (زباله)</w:t>
            </w:r>
          </w:p>
        </w:tc>
        <w:tc>
          <w:tcPr>
            <w:tcW w:w="6898" w:type="dxa"/>
            <w:gridSpan w:val="4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203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</w:t>
            </w:r>
            <w:r w:rsidRPr="00166583">
              <w:rPr>
                <w:rFonts w:ascii="Calibri" w:eastAsia="Calibri" w:hAnsi="Calibri" w:cs="B Mitra" w:hint="cs"/>
                <w:sz w:val="24"/>
                <w:szCs w:val="24"/>
                <w:rtl/>
              </w:rPr>
              <w:t>مدیریت سامانه ثبت بازرسی اصناف و صنایع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DotDash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206]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مضرات مواجهه با عوامل شیمیایی در محیط کار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dotDotDash" w:sz="4" w:space="0" w:color="auto"/>
              <w:bottom w:val="single" w:sz="4" w:space="0" w:color="000000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205]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کاهش اختلالات اسکلتی عضلانی ناشی از کار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حرفه‌ای</w:t>
            </w: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118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207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3750" w:type="dxa"/>
            <w:tcBorders>
              <w:top w:val="single" w:sz="4" w:space="0" w:color="auto"/>
              <w:left w:val="single" w:sz="12" w:space="0" w:color="auto"/>
              <w:bottom w:val="dotDotDash" w:sz="4" w:space="0" w:color="auto"/>
              <w:right w:val="dotDash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303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پیشگیری ،کنترل ومراقبت بیماریهای تنفسی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302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حیوان گزیدگی (هاری و بیماری های مشترک انسان و حیوان)</w:t>
            </w:r>
          </w:p>
        </w:tc>
        <w:tc>
          <w:tcPr>
            <w:tcW w:w="2983" w:type="dxa"/>
            <w:tcBorders>
              <w:top w:val="single" w:sz="4" w:space="0" w:color="auto"/>
              <w:left w:val="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301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طغیان بیماریهای منتقله ازطریق آب وغذا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واگیر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Titr" w:hint="cs"/>
                <w:sz w:val="20"/>
                <w:szCs w:val="20"/>
                <w:rtl/>
              </w:rPr>
              <w:t>پیشگیری و مبارزه با بیماریها</w:t>
            </w: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4994" w:type="dxa"/>
            <w:gridSpan w:val="2"/>
            <w:tcBorders>
              <w:top w:val="dotDotDash" w:sz="4" w:space="0" w:color="auto"/>
              <w:left w:val="single" w:sz="12" w:space="0" w:color="auto"/>
              <w:bottom w:val="single" w:sz="4" w:space="0" w:color="000000"/>
              <w:right w:val="dotDotDash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306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>شپش و گال</w:t>
            </w:r>
          </w:p>
        </w:tc>
        <w:tc>
          <w:tcPr>
            <w:tcW w:w="3405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000000"/>
              <w:right w:val="dotDotDash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305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 بیماریابی سل و</w:t>
            </w:r>
            <w:r w:rsidRPr="00166583">
              <w:rPr>
                <w:rFonts w:ascii="Calibri" w:eastAsia="Calibri" w:hAnsi="Calibri" w:cs="B Mitra"/>
                <w:sz w:val="20"/>
                <w:szCs w:val="20"/>
              </w:rPr>
              <w:t>HIV</w:t>
            </w:r>
          </w:p>
        </w:tc>
        <w:tc>
          <w:tcPr>
            <w:tcW w:w="3493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304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هپاتیت های ویروسی</w:t>
            </w:r>
            <w:r w:rsidRPr="00166583">
              <w:rPr>
                <w:rFonts w:ascii="Calibri" w:eastAsia="Calibri" w:hAnsi="Calibri" w:cs="B Mitra"/>
                <w:sz w:val="20"/>
                <w:szCs w:val="20"/>
              </w:rPr>
              <w:t>B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و</w:t>
            </w:r>
            <w:r w:rsidRPr="00166583">
              <w:rPr>
                <w:rFonts w:ascii="Calibri" w:eastAsia="Calibri" w:hAnsi="Calibri" w:cs="B Mitra"/>
                <w:sz w:val="20"/>
                <w:szCs w:val="20"/>
              </w:rPr>
              <w:t>C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12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308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دیابت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307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فشارخون بالا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غیرواگیر</w:t>
            </w: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4994" w:type="dxa"/>
            <w:gridSpan w:val="2"/>
            <w:tcBorders>
              <w:top w:val="dotDotDash" w:sz="4" w:space="0" w:color="auto"/>
              <w:left w:val="single" w:sz="12" w:space="0" w:color="auto"/>
              <w:bottom w:val="single" w:sz="4" w:space="0" w:color="000000"/>
              <w:right w:val="dotDotDash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310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>خطرسنجی بیماری های قلبی وعروقی درافراد بالای 30سال</w:t>
            </w:r>
          </w:p>
        </w:tc>
        <w:tc>
          <w:tcPr>
            <w:tcW w:w="6898" w:type="dxa"/>
            <w:gridSpan w:val="4"/>
            <w:tcBorders>
              <w:top w:val="dotDotDash" w:sz="4" w:space="0" w:color="auto"/>
              <w:left w:val="dotDotDash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309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سرطان های هدف برنامه ایراپن(کولورکتال،پستان و دهانه رحم)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11892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311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eastAsia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DotDash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402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اختلالات خلقی (افسردگی و .....)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dotDotDash" w:sz="4" w:space="0" w:color="auto"/>
              <w:bottom w:val="single" w:sz="4" w:space="0" w:color="000000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401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خودکشی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Titr" w:hint="cs"/>
                <w:sz w:val="20"/>
                <w:szCs w:val="20"/>
                <w:rtl/>
              </w:rPr>
              <w:t>سلامت روانی اجتماعی</w:t>
            </w:r>
          </w:p>
        </w:tc>
      </w:tr>
      <w:tr w:rsidR="00166583" w:rsidRPr="00166583" w:rsidTr="00166583">
        <w:trPr>
          <w:trHeight w:val="319"/>
          <w:jc w:val="center"/>
        </w:trPr>
        <w:tc>
          <w:tcPr>
            <w:tcW w:w="118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403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eastAsia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DotDash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color w:val="000000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502</w:t>
            </w:r>
            <w:r w:rsidRPr="001665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color w:val="000000"/>
                <w:sz w:val="20"/>
                <w:szCs w:val="20"/>
                <w:rtl/>
              </w:rPr>
              <w:t xml:space="preserve"> الگوی نامناسب تغذیه‌ای 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dotDotDash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color w:val="000000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501</w:t>
            </w:r>
            <w:r w:rsidRPr="001665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color w:val="000000"/>
                <w:sz w:val="20"/>
                <w:szCs w:val="20"/>
                <w:rtl/>
              </w:rPr>
              <w:t xml:space="preserve"> اضافه وزن و چاقی در گروه‌های سنی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Titr" w:hint="cs"/>
                <w:sz w:val="20"/>
                <w:szCs w:val="20"/>
                <w:rtl/>
              </w:rPr>
              <w:t>تغذیه جامعه</w:t>
            </w: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118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503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DotDash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602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dotDotDash" w:sz="4" w:space="0" w:color="auto"/>
              <w:bottom w:val="single" w:sz="4" w:space="0" w:color="000000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601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پوسیدگی دندان دانش آموزان( معاینه دهان و دندان دانش آموزان</w:t>
            </w:r>
            <w:r w:rsidRPr="00166583">
              <w:rPr>
                <w:rFonts w:ascii="Calibri" w:eastAsia="Calibri" w:hAnsi="Calibri" w:cs="B Mitra"/>
                <w:sz w:val="20"/>
                <w:szCs w:val="20"/>
              </w:rPr>
              <w:t>(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Titr" w:hint="cs"/>
                <w:sz w:val="20"/>
                <w:szCs w:val="20"/>
                <w:rtl/>
              </w:rPr>
              <w:t>سلامت دهان و دندان</w:t>
            </w: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118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603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eastAsia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118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701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</w:t>
            </w:r>
            <w:r w:rsidRPr="00166583">
              <w:rPr>
                <w:rFonts w:ascii="Calibri" w:eastAsia="Calibri" w:hAnsi="Calibri" w:cs="B Mitra" w:hint="cs"/>
                <w:color w:val="000000"/>
                <w:sz w:val="20"/>
                <w:szCs w:val="20"/>
                <w:rtl/>
              </w:rPr>
              <w:t>کاهش میانگین اقلام دارویی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166583">
              <w:rPr>
                <w:rFonts w:ascii="Calibri" w:eastAsia="Calibri" w:hAnsi="Calibri" w:cs="B Titr" w:hint="cs"/>
                <w:sz w:val="20"/>
                <w:szCs w:val="20"/>
                <w:rtl/>
              </w:rPr>
              <w:t>امور دارویی</w:t>
            </w: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118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702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eastAsia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otDash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802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/>
                <w:rtl/>
              </w:rPr>
              <w:t xml:space="preserve"> 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>پيشگيري از سوانح و حوادث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801</w:t>
            </w:r>
            <w:r w:rsidRPr="0016658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]</w:t>
            </w:r>
            <w:r w:rsidRPr="00166583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پيشگيري، آمادگي، پاسخ و بازتواني در برابر مخاطرات طبيعي و انسان ساخت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166583">
              <w:rPr>
                <w:rFonts w:ascii="Calibri" w:eastAsia="Calibri" w:hAnsi="Calibri" w:cs="B Titr" w:hint="cs"/>
                <w:sz w:val="20"/>
                <w:szCs w:val="20"/>
                <w:rtl/>
              </w:rPr>
              <w:t>کاهش خطر ،بلایا و حوادث</w:t>
            </w:r>
          </w:p>
        </w:tc>
      </w:tr>
      <w:tr w:rsidR="00166583" w:rsidRPr="00166583" w:rsidTr="00166583">
        <w:trPr>
          <w:trHeight w:val="358"/>
          <w:jc w:val="center"/>
        </w:trPr>
        <w:tc>
          <w:tcPr>
            <w:tcW w:w="1189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166583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803]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C5C2"/>
            <w:vAlign w:val="center"/>
            <w:hideMark/>
          </w:tcPr>
          <w:p w:rsidR="00166583" w:rsidRPr="00166583" w:rsidRDefault="00166583" w:rsidP="00166583">
            <w:pPr>
              <w:bidi/>
              <w:spacing w:line="40" w:lineRule="atLeast"/>
              <w:jc w:val="center"/>
              <w:rPr>
                <w:rFonts w:eastAsia="Calibri" w:cs="B Mitra"/>
                <w:b/>
                <w:bCs/>
                <w:sz w:val="20"/>
                <w:szCs w:val="20"/>
              </w:rPr>
            </w:pPr>
            <w:r w:rsidRPr="0016658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6583" w:rsidRPr="00166583" w:rsidRDefault="00166583" w:rsidP="00166583">
            <w:pPr>
              <w:rPr>
                <w:rFonts w:cs="B Titr"/>
                <w:sz w:val="20"/>
                <w:szCs w:val="20"/>
              </w:rPr>
            </w:pPr>
          </w:p>
        </w:tc>
      </w:tr>
    </w:tbl>
    <w:p w:rsidR="00493B23" w:rsidRDefault="00493B23" w:rsidP="00166583">
      <w:pPr>
        <w:bidi/>
        <w:jc w:val="center"/>
      </w:pPr>
    </w:p>
    <w:sectPr w:rsidR="00493B23" w:rsidSect="00166583">
      <w:pgSz w:w="15840" w:h="12240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CB"/>
    <w:rsid w:val="00166583"/>
    <w:rsid w:val="001A14CB"/>
    <w:rsid w:val="00493B23"/>
    <w:rsid w:val="00E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F482B54-34D8-4A84-AC60-083FBC23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uiPriority w:val="1"/>
    <w:rsid w:val="00166583"/>
    <w:pPr>
      <w:spacing w:after="0" w:line="240" w:lineRule="auto"/>
    </w:pPr>
    <w:rPr>
      <w:rFonts w:ascii="Arial" w:eastAsia="SimSun" w:hAnsi="Arial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20-38-shirvani-N</dc:creator>
  <cp:keywords/>
  <dc:description/>
  <cp:lastModifiedBy>beh-karami</cp:lastModifiedBy>
  <cp:revision>2</cp:revision>
  <dcterms:created xsi:type="dcterms:W3CDTF">2024-07-21T03:57:00Z</dcterms:created>
  <dcterms:modified xsi:type="dcterms:W3CDTF">2024-07-21T03:57:00Z</dcterms:modified>
</cp:coreProperties>
</file>